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left"/>
        <w:rPr>
          <w:rFonts w:ascii="仿宋_GB2312" w:eastAsia="仿宋_GB2312" w:cs="新宋体"/>
          <w:b/>
          <w:kern w:val="0"/>
          <w:sz w:val="32"/>
          <w:szCs w:val="32"/>
        </w:rPr>
      </w:pPr>
      <w:r>
        <w:rPr>
          <w:rFonts w:hint="eastAsia" w:ascii="仿宋_GB2312" w:eastAsia="仿宋_GB2312" w:cs="新宋体"/>
          <w:b/>
          <w:kern w:val="0"/>
          <w:sz w:val="32"/>
          <w:szCs w:val="32"/>
        </w:rPr>
        <w:t>附件1</w:t>
      </w:r>
    </w:p>
    <w:p>
      <w:pPr>
        <w:autoSpaceDE w:val="0"/>
        <w:autoSpaceDN w:val="0"/>
        <w:adjustRightInd w:val="0"/>
        <w:jc w:val="center"/>
        <w:rPr>
          <w:rFonts w:ascii="仿宋_GB2312" w:eastAsia="仿宋_GB2312" w:cs="新宋体"/>
          <w:b/>
          <w:kern w:val="0"/>
          <w:sz w:val="32"/>
          <w:szCs w:val="32"/>
        </w:rPr>
      </w:pPr>
      <w:bookmarkStart w:id="0" w:name="_GoBack"/>
      <w:r>
        <w:rPr>
          <w:rFonts w:hint="eastAsia" w:ascii="仿宋_GB2312" w:eastAsia="仿宋_GB2312" w:cs="新宋体"/>
          <w:b/>
          <w:kern w:val="0"/>
          <w:sz w:val="32"/>
          <w:szCs w:val="32"/>
        </w:rPr>
        <w:t>2019年度市级科技项目公示清单（一）</w:t>
      </w:r>
    </w:p>
    <w:bookmarkEnd w:id="0"/>
    <w:tbl>
      <w:tblPr>
        <w:tblStyle w:val="3"/>
        <w:tblW w:w="9175" w:type="dxa"/>
        <w:jc w:val="center"/>
        <w:tblLayout w:type="fixed"/>
        <w:tblCellMar>
          <w:top w:w="0" w:type="dxa"/>
          <w:left w:w="108" w:type="dxa"/>
          <w:bottom w:w="0" w:type="dxa"/>
          <w:right w:w="108" w:type="dxa"/>
        </w:tblCellMar>
      </w:tblPr>
      <w:tblGrid>
        <w:gridCol w:w="704"/>
        <w:gridCol w:w="4485"/>
        <w:gridCol w:w="2880"/>
        <w:gridCol w:w="1106"/>
      </w:tblGrid>
      <w:tr>
        <w:tblPrEx>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仿宋" w:hAnsi="仿宋" w:eastAsia="仿宋" w:cs="仿宋"/>
                <w:b/>
                <w:bCs/>
                <w:kern w:val="0"/>
                <w:sz w:val="20"/>
                <w:szCs w:val="20"/>
              </w:rPr>
            </w:pPr>
            <w:r>
              <w:rPr>
                <w:rFonts w:hint="eastAsia" w:ascii="仿宋" w:hAnsi="仿宋" w:eastAsia="仿宋" w:cs="仿宋"/>
                <w:b/>
                <w:bCs/>
                <w:kern w:val="0"/>
                <w:sz w:val="20"/>
                <w:szCs w:val="20"/>
              </w:rPr>
              <w:t>序号</w:t>
            </w:r>
          </w:p>
        </w:tc>
        <w:tc>
          <w:tcPr>
            <w:tcW w:w="4485"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bCs/>
                <w:kern w:val="0"/>
                <w:sz w:val="20"/>
                <w:szCs w:val="20"/>
              </w:rPr>
            </w:pPr>
            <w:r>
              <w:rPr>
                <w:rFonts w:hint="eastAsia" w:ascii="仿宋" w:hAnsi="仿宋" w:eastAsia="仿宋" w:cs="仿宋"/>
                <w:b/>
                <w:bCs/>
                <w:kern w:val="0"/>
                <w:sz w:val="20"/>
                <w:szCs w:val="20"/>
              </w:rPr>
              <w:t>项目名称</w:t>
            </w:r>
          </w:p>
        </w:tc>
        <w:tc>
          <w:tcPr>
            <w:tcW w:w="2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bCs/>
                <w:kern w:val="0"/>
                <w:sz w:val="20"/>
                <w:szCs w:val="20"/>
              </w:rPr>
            </w:pPr>
            <w:r>
              <w:rPr>
                <w:rFonts w:hint="eastAsia" w:ascii="仿宋" w:hAnsi="仿宋" w:eastAsia="仿宋" w:cs="仿宋"/>
                <w:b/>
                <w:bCs/>
                <w:kern w:val="0"/>
                <w:sz w:val="20"/>
                <w:szCs w:val="20"/>
              </w:rPr>
              <w:t>承担单位</w:t>
            </w:r>
          </w:p>
        </w:tc>
        <w:tc>
          <w:tcPr>
            <w:tcW w:w="1106"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仿宋" w:hAnsi="仿宋" w:eastAsia="仿宋" w:cs="仿宋"/>
                <w:b/>
                <w:bCs/>
                <w:kern w:val="0"/>
                <w:sz w:val="20"/>
                <w:szCs w:val="20"/>
              </w:rPr>
            </w:pPr>
            <w:r>
              <w:rPr>
                <w:rFonts w:hint="eastAsia" w:ascii="仿宋" w:hAnsi="仿宋" w:eastAsia="仿宋" w:cs="仿宋"/>
                <w:b/>
                <w:bCs/>
                <w:kern w:val="0"/>
                <w:sz w:val="20"/>
                <w:szCs w:val="20"/>
              </w:rPr>
              <w:t>项目    负责人</w:t>
            </w:r>
          </w:p>
        </w:tc>
      </w:tr>
      <w:tr>
        <w:tblPrEx>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w:t>
            </w:r>
          </w:p>
        </w:tc>
        <w:tc>
          <w:tcPr>
            <w:tcW w:w="4485" w:type="dxa"/>
            <w:tcBorders>
              <w:top w:val="single" w:color="auto" w:sz="4" w:space="0"/>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“海上植物工厂”内速生蔬菜品种多样化配置及简易栽培设备研制</w:t>
            </w:r>
          </w:p>
        </w:tc>
        <w:tc>
          <w:tcPr>
            <w:tcW w:w="2880" w:type="dxa"/>
            <w:tcBorders>
              <w:top w:val="single" w:color="auto" w:sz="4" w:space="0"/>
              <w:left w:val="nil"/>
              <w:bottom w:val="single" w:color="auto" w:sz="4" w:space="0"/>
              <w:right w:val="single" w:color="auto" w:sz="4" w:space="0"/>
            </w:tcBorders>
            <w:shd w:val="clear" w:color="000000" w:fill="FFFFFF"/>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舟山市农业科学研究院</w:t>
            </w:r>
          </w:p>
        </w:tc>
        <w:tc>
          <w:tcPr>
            <w:tcW w:w="1106" w:type="dxa"/>
            <w:tcBorders>
              <w:top w:val="single" w:color="auto" w:sz="4" w:space="0"/>
              <w:left w:val="nil"/>
              <w:bottom w:val="single" w:color="auto" w:sz="4" w:space="0"/>
              <w:right w:val="single" w:color="auto" w:sz="4" w:space="0"/>
            </w:tcBorders>
            <w:shd w:val="clear" w:color="000000" w:fill="FFFFFF"/>
            <w:vAlign w:val="center"/>
          </w:tcPr>
          <w:p>
            <w:pPr>
              <w:widowControl/>
              <w:jc w:val="center"/>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lang w:bidi="ar"/>
              </w:rPr>
              <w:t>杨飞</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2</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不同稳定化材料及用量对中轻度镉污染土壤的安全利用效果研究</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舟山市农业技术推广中心</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lang w:bidi="ar"/>
              </w:rPr>
              <w:t>杨梢娜</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3</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基于鱿鱼的加工副产物动物营养制品关键技术研究</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舟山市农产品质量安全管理中心</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lang w:bidi="ar"/>
              </w:rPr>
              <w:t>夏磊</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4</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舟山市海岛特色公益林建设成效评价及管理模式研究</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舟山市林业科学研究院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lang w:bidi="ar"/>
              </w:rPr>
              <w:t>鲁专</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5</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黄腐酸类肥料在海岛特色苗木培育中的应用研究</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舟山市林业科学研究院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lang w:bidi="ar"/>
              </w:rPr>
              <w:t>陈闻</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6</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虾脊兰（Calanthe discolor Lindl.）组培快繁技术与保护研究</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舟山市林业科学研究院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lang w:bidi="ar"/>
              </w:rPr>
              <w:t>张玲</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7</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不同栽培基质对蓝莓生长及果实品质的影响</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舟山市定海区农业技术推广中心</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张真真</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8</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普陀山主要树种白蚁取食特征和生态防治措施</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普陀山林场</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刘海</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9</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舟山黄牛种群提纯复壮</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舟山市三星舟山黄牛保护所</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郑意胜</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10</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“健康中国”引领下体医融合的大数据多元主体协同治理研究</w:t>
            </w:r>
          </w:p>
        </w:tc>
        <w:tc>
          <w:tcPr>
            <w:tcW w:w="288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浙江舟山群岛新区旅游与健康   职业学院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lang w:bidi="ar"/>
              </w:rPr>
              <w:t>李欣</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11</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舟山市海洋旅游政策体系构建研究</w:t>
            </w:r>
          </w:p>
        </w:tc>
        <w:tc>
          <w:tcPr>
            <w:tcW w:w="2880" w:type="dxa"/>
            <w:tcBorders>
              <w:top w:val="nil"/>
              <w:left w:val="nil"/>
              <w:bottom w:val="single" w:color="auto" w:sz="4" w:space="0"/>
              <w:right w:val="single" w:color="auto" w:sz="4" w:space="0"/>
            </w:tcBorders>
            <w:shd w:val="clear" w:color="auto" w:fill="auto"/>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浙江舟山群岛新区旅游与健康   职业学院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lang w:bidi="ar"/>
              </w:rPr>
              <w:t>杨奇美</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12</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头足类DNA条形码鉴定体系的开发与应用</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舟山市食品药品检验检测研究院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黄朱梁</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13</w:t>
            </w:r>
          </w:p>
        </w:tc>
        <w:tc>
          <w:tcPr>
            <w:tcW w:w="4485" w:type="dxa"/>
            <w:tcBorders>
              <w:top w:val="nil"/>
              <w:left w:val="nil"/>
              <w:bottom w:val="single" w:color="auto" w:sz="4" w:space="0"/>
              <w:right w:val="single" w:color="auto" w:sz="4" w:space="0"/>
            </w:tcBorders>
            <w:shd w:val="clear" w:color="000000" w:fill="FFFFFF"/>
            <w:vAlign w:val="center"/>
          </w:tcPr>
          <w:p>
            <w:pPr>
              <w:widowControl/>
              <w:jc w:val="left"/>
              <w:rPr>
                <w:rFonts w:asciiTheme="minorEastAsia" w:hAnsiTheme="minorEastAsia" w:cstheme="minorEastAsia"/>
                <w:kern w:val="0"/>
                <w:sz w:val="18"/>
                <w:szCs w:val="18"/>
              </w:rPr>
            </w:pPr>
            <w:r>
              <w:rPr>
                <w:rFonts w:hint="eastAsia" w:asciiTheme="minorEastAsia" w:hAnsiTheme="minorEastAsia" w:cstheme="minorEastAsia"/>
                <w:kern w:val="0"/>
                <w:sz w:val="18"/>
                <w:szCs w:val="18"/>
              </w:rPr>
              <w:t>基于TGA-FTIR-GC/MS联机技术的农田土壤中微塑料绿色定量分析方法研究与应用</w:t>
            </w:r>
          </w:p>
        </w:tc>
        <w:tc>
          <w:tcPr>
            <w:tcW w:w="2880" w:type="dxa"/>
            <w:tcBorders>
              <w:top w:val="nil"/>
              <w:left w:val="nil"/>
              <w:bottom w:val="single" w:color="auto" w:sz="4" w:space="0"/>
              <w:right w:val="single" w:color="auto" w:sz="4" w:space="0"/>
            </w:tcBorders>
            <w:shd w:val="clear" w:color="auto" w:fill="auto"/>
            <w:vAlign w:val="center"/>
          </w:tcPr>
          <w:p>
            <w:pPr>
              <w:widowControl/>
              <w:jc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rPr>
              <w:t>舟山市食品药品检验检测研究院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kern w:val="0"/>
                <w:sz w:val="18"/>
                <w:szCs w:val="18"/>
              </w:rPr>
            </w:pPr>
            <w:r>
              <w:rPr>
                <w:rFonts w:hint="eastAsia" w:asciiTheme="minorEastAsia" w:hAnsiTheme="minorEastAsia" w:cstheme="minorEastAsia"/>
                <w:kern w:val="0"/>
                <w:sz w:val="18"/>
                <w:szCs w:val="18"/>
                <w:lang w:bidi="ar"/>
              </w:rPr>
              <w:t>吴益春</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14</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海水污染源COD测定仪智能在线校准系统研制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舟山市质量技术监督检测研究院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张春娥</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15</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绿色无针孔Ni-Sn-P三元镀层及海洋应用性能研究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舟山市质量技术监督检测研究院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叶贤槐</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16</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贻贝中二甲苯的消除规律及其安全性评价的研究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舟山海关综合技术服务中心</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周秀锦</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17</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进口油品中鞘氨醇单胞菌的分析与监测</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舟山海关技术中心</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张杰</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18</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辐照技术在海产品生物胺控制中的应用及研究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舟山海关综合技术服务中心</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邵宏宏</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19</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舟山群岛海洋环境沉积物中有机锡化合物的污染特征及生态风险评估</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浙江省海洋水产研究所</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金衍健</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20</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银鲳亲鱼性腺发育调控技术研究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浙江省海洋水产研究所</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张鼎元</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21</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船舶噪声对岛礁及其周边海域鱼类生物学特性的影响研究----以条石鲷为例</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浙江省海洋水产研究所</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胡翠林</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22</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舟山经济海产加工蒸煮液微胶囊调味品制备工艺研发</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浙江省海洋水产研究所</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陈瑜</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23</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南非斑节对虾循环水养殖关键技术研究及示范</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舟山市水产研究所</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李伟业</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24</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迟钝爱德华氏菌感染对黑石斑幼鱼机体损伤和 TLR5信号通路影响的初步研究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舟山市水产研究所</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章霞</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25</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台风“米娜”在舟山造成的特大暴雨成因分析</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舟山市气象局</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陈淑琴</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26</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舟山港域船舶靠离泊气象预报预警智慧化服务系统</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舟山市气象服务中心           （舟山市海洋气象台）</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於敏佳</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Theme="minorEastAsia" w:hAnsiTheme="minorEastAsia" w:cstheme="minorEastAsia"/>
                <w:bCs/>
                <w:kern w:val="0"/>
                <w:sz w:val="18"/>
                <w:szCs w:val="18"/>
              </w:rPr>
            </w:pPr>
            <w:r>
              <w:rPr>
                <w:rFonts w:hint="eastAsia" w:asciiTheme="minorEastAsia" w:hAnsiTheme="minorEastAsia" w:cstheme="minorEastAsia"/>
                <w:bCs/>
                <w:kern w:val="0"/>
                <w:sz w:val="18"/>
                <w:szCs w:val="18"/>
              </w:rPr>
              <w:t>27</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舟山市在用起重机械能耗现状调研以及能效评价方法研究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舟山市特种设备检测院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赵华</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28</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节能提质型标准金属量器自动检定装置的研制及应用</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舟山市质量技术监督检测研究院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王莹莹</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29</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各类电动泵浦保护装置</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舟山航海学校</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舒海滨</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30</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重大海损船船体修理工艺研究与应用</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浙江国际海运职业技术学院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李云</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31</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海水脱硫塔盐巴清理机器人的关键技术研究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浙江国际海运职业技术学院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杨其雷</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32</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散货表面液化阻流装置设计与应用研究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浙江国际海运职业技术学院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王雪峰</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33</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自升式海洋牧场综合平台研发与设计</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浙江国际海运职业技术学院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张波</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34</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基于无人机的船舶尾气智能检测系统研究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浙江国际海运职业技术学院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卓宏明</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35</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基于机器视觉的智能化虾仁加工关键技术研究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舟山技师学院（筹）</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黄道沛</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36</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塑机螺杆渗氮处理自动控制的关键技术研究</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舟山技术学院（筹）</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李君江</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37</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基于含氮类化合物研究新型船舶防污剂的合成</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上海船舶工艺研究所舟山船舶工程研究中心</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郭永升</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38</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面向科技创新教育的智能机器人基础平台研究与开发</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浙江省海洋开发研究院</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杨凯盛</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rPr>
            </w:pPr>
            <w:r>
              <w:rPr>
                <w:rFonts w:hint="eastAsia" w:asciiTheme="minorEastAsia" w:hAnsiTheme="minorEastAsia" w:cstheme="minorEastAsia"/>
                <w:bCs/>
                <w:sz w:val="18"/>
                <w:szCs w:val="18"/>
              </w:rPr>
              <w:t>39</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普陀区桃花镇中心学校校园网络视频安防监控系统的安装与应用</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舟山市普陀区桃花镇中心学校</w:t>
            </w:r>
          </w:p>
        </w:tc>
        <w:tc>
          <w:tcPr>
            <w:tcW w:w="110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asciiTheme="minorEastAsia" w:hAnsiTheme="minorEastAsia" w:cstheme="minorEastAsia"/>
                <w:sz w:val="18"/>
                <w:szCs w:val="18"/>
              </w:rPr>
            </w:pPr>
            <w:r>
              <w:rPr>
                <w:rFonts w:hint="eastAsia" w:asciiTheme="minorEastAsia" w:hAnsiTheme="minorEastAsia" w:cstheme="minorEastAsia"/>
                <w:kern w:val="0"/>
                <w:sz w:val="18"/>
                <w:szCs w:val="18"/>
                <w:lang w:bidi="ar"/>
              </w:rPr>
              <w:t>王孝彬</w:t>
            </w:r>
          </w:p>
        </w:tc>
      </w:tr>
      <w:tr>
        <w:tblPrEx>
          <w:tblCellMar>
            <w:top w:w="0" w:type="dxa"/>
            <w:left w:w="108" w:type="dxa"/>
            <w:bottom w:w="0" w:type="dxa"/>
            <w:right w:w="108" w:type="dxa"/>
          </w:tblCellMar>
        </w:tblPrEx>
        <w:trPr>
          <w:trHeight w:val="454" w:hRule="atLeast"/>
          <w:jc w:val="center"/>
        </w:trPr>
        <w:tc>
          <w:tcPr>
            <w:tcW w:w="704" w:type="dxa"/>
            <w:tcBorders>
              <w:top w:val="nil"/>
              <w:left w:val="single" w:color="auto" w:sz="8" w:space="0"/>
              <w:bottom w:val="single" w:color="auto" w:sz="4" w:space="0"/>
              <w:right w:val="single" w:color="auto" w:sz="4" w:space="0"/>
            </w:tcBorders>
            <w:shd w:val="clear" w:color="auto" w:fill="auto"/>
            <w:noWrap/>
            <w:vAlign w:val="center"/>
          </w:tcPr>
          <w:p>
            <w:pPr>
              <w:jc w:val="center"/>
              <w:rPr>
                <w:rFonts w:asciiTheme="minorEastAsia" w:hAnsiTheme="minorEastAsia" w:cstheme="minorEastAsia"/>
                <w:bCs/>
                <w:sz w:val="18"/>
                <w:szCs w:val="18"/>
                <w:highlight w:val="yellow"/>
              </w:rPr>
            </w:pPr>
            <w:r>
              <w:rPr>
                <w:rFonts w:hint="eastAsia" w:asciiTheme="minorEastAsia" w:hAnsiTheme="minorEastAsia" w:cstheme="minorEastAsia"/>
                <w:bCs/>
                <w:sz w:val="18"/>
                <w:szCs w:val="18"/>
              </w:rPr>
              <w:t>40</w:t>
            </w:r>
          </w:p>
        </w:tc>
        <w:tc>
          <w:tcPr>
            <w:tcW w:w="4485" w:type="dxa"/>
            <w:tcBorders>
              <w:top w:val="nil"/>
              <w:left w:val="nil"/>
              <w:bottom w:val="single" w:color="auto" w:sz="4" w:space="0"/>
              <w:right w:val="single" w:color="auto" w:sz="4" w:space="0"/>
            </w:tcBorders>
            <w:shd w:val="clear" w:color="000000" w:fill="FFFFFF"/>
            <w:vAlign w:val="center"/>
          </w:tcPr>
          <w:p>
            <w:pPr>
              <w:rPr>
                <w:rFonts w:asciiTheme="minorEastAsia" w:hAnsiTheme="minorEastAsia" w:cstheme="minorEastAsia"/>
                <w:sz w:val="18"/>
                <w:szCs w:val="18"/>
              </w:rPr>
            </w:pPr>
            <w:r>
              <w:rPr>
                <w:rFonts w:hint="eastAsia" w:asciiTheme="minorEastAsia" w:hAnsiTheme="minorEastAsia" w:cstheme="minorEastAsia"/>
                <w:sz w:val="18"/>
                <w:szCs w:val="18"/>
              </w:rPr>
              <w:t>舟山市市售海产品中抗生素残留现状及食用风险评估（省级重点实验室）</w:t>
            </w:r>
          </w:p>
        </w:tc>
        <w:tc>
          <w:tcPr>
            <w:tcW w:w="2880"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舟山市疾病预防控制中心</w:t>
            </w:r>
          </w:p>
        </w:tc>
        <w:tc>
          <w:tcPr>
            <w:tcW w:w="1106" w:type="dxa"/>
            <w:tcBorders>
              <w:top w:val="nil"/>
              <w:left w:val="nil"/>
              <w:bottom w:val="single" w:color="auto" w:sz="4" w:space="0"/>
              <w:right w:val="single" w:color="auto" w:sz="4" w:space="0"/>
            </w:tcBorders>
            <w:shd w:val="clear" w:color="auto" w:fill="auto"/>
            <w:vAlign w:val="center"/>
          </w:tcPr>
          <w:p>
            <w:pPr>
              <w:jc w:val="center"/>
              <w:rPr>
                <w:rFonts w:asciiTheme="minorEastAsia" w:hAnsiTheme="minorEastAsia" w:cstheme="minorEastAsia"/>
                <w:sz w:val="18"/>
                <w:szCs w:val="18"/>
              </w:rPr>
            </w:pPr>
            <w:r>
              <w:rPr>
                <w:rFonts w:hint="eastAsia" w:asciiTheme="minorEastAsia" w:hAnsiTheme="minorEastAsia" w:cstheme="minorEastAsia"/>
                <w:sz w:val="18"/>
                <w:szCs w:val="18"/>
              </w:rPr>
              <w:t>程曦</w:t>
            </w:r>
          </w:p>
        </w:tc>
      </w:tr>
    </w:tbl>
    <w:p>
      <w:pPr>
        <w:autoSpaceDE w:val="0"/>
        <w:autoSpaceDN w:val="0"/>
        <w:adjustRightInd w:val="0"/>
        <w:rPr>
          <w:rFonts w:ascii="仿宋_GB2312" w:eastAsia="仿宋_GB2312" w:cs="新宋体"/>
          <w:b/>
          <w:kern w:val="0"/>
          <w:sz w:val="32"/>
          <w:szCs w:val="32"/>
        </w:rPr>
      </w:pPr>
    </w:p>
    <w:p>
      <w:pPr>
        <w:autoSpaceDE w:val="0"/>
        <w:autoSpaceDN w:val="0"/>
        <w:adjustRightInd w:val="0"/>
        <w:rPr>
          <w:rFonts w:ascii="仿宋_GB2312" w:eastAsia="仿宋_GB2312" w:cs="新宋体"/>
          <w:b/>
          <w:kern w:val="0"/>
          <w:sz w:val="32"/>
          <w:szCs w:val="32"/>
        </w:rPr>
      </w:pPr>
    </w:p>
    <w:p>
      <w:pPr>
        <w:autoSpaceDE w:val="0"/>
        <w:autoSpaceDN w:val="0"/>
        <w:adjustRightInd w:val="0"/>
        <w:rPr>
          <w:rFonts w:ascii="仿宋_GB2312" w:eastAsia="仿宋_GB2312" w:cs="新宋体"/>
          <w:b/>
          <w:kern w:val="0"/>
          <w:sz w:val="32"/>
          <w:szCs w:val="32"/>
        </w:rPr>
      </w:pPr>
    </w:p>
    <w:p>
      <w:pPr>
        <w:autoSpaceDE w:val="0"/>
        <w:autoSpaceDN w:val="0"/>
        <w:adjustRightInd w:val="0"/>
        <w:rPr>
          <w:rFonts w:ascii="仿宋_GB2312" w:eastAsia="仿宋_GB2312" w:cs="新宋体"/>
          <w:b/>
          <w:kern w:val="0"/>
          <w:sz w:val="32"/>
          <w:szCs w:val="32"/>
        </w:rPr>
      </w:pPr>
    </w:p>
    <w:p>
      <w:pPr>
        <w:autoSpaceDE w:val="0"/>
        <w:autoSpaceDN w:val="0"/>
        <w:adjustRightInd w:val="0"/>
        <w:rPr>
          <w:rFonts w:ascii="仿宋_GB2312" w:eastAsia="仿宋_GB2312" w:cs="新宋体"/>
          <w:b/>
          <w:kern w:val="0"/>
          <w:sz w:val="32"/>
          <w:szCs w:val="32"/>
        </w:rPr>
      </w:pPr>
    </w:p>
    <w:p>
      <w:pPr>
        <w:autoSpaceDE w:val="0"/>
        <w:autoSpaceDN w:val="0"/>
        <w:adjustRightInd w:val="0"/>
        <w:rPr>
          <w:rFonts w:ascii="仿宋_GB2312" w:eastAsia="仿宋_GB2312" w:cs="新宋体"/>
          <w:b/>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A81672"/>
    <w:rsid w:val="30A816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Hyperlink"/>
    <w:basedOn w:val="4"/>
    <w:semiHidden/>
    <w:unhideWhenUsed/>
    <w:uiPriority w:val="99"/>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2019-11-25T06:27:00Z</dcterms:created>
  <dc:creator>盏萤</dc:creator>
  <cp:lastModifiedBy>盏萤</cp:lastModifiedBy>
  <dcterms:modified xsi:type="dcterms:W3CDTF">2019-11-25T06:28:26Z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